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B2" w:rsidRDefault="00CF7850">
      <w:pPr>
        <w:rPr>
          <w:rFonts w:hint="eastAsia"/>
        </w:rPr>
      </w:pPr>
      <w:r>
        <w:rPr>
          <w:rFonts w:hint="eastAsia"/>
        </w:rPr>
        <w:t>線維筋痛症</w:t>
      </w:r>
    </w:p>
    <w:p w:rsidR="00CF7850" w:rsidRDefault="00CF7850">
      <w:r>
        <w:rPr>
          <w:noProof/>
        </w:rPr>
        <w:drawing>
          <wp:inline distT="0" distB="0" distL="0" distR="0" wp14:anchorId="34DCDFF3" wp14:editId="7097C4F2">
            <wp:extent cx="2667000" cy="3819525"/>
            <wp:effectExtent l="0" t="0" r="0" b="0"/>
            <wp:docPr id="1" name="図 1" descr="Tender points fibromyalgia svg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der points fibromyalgia svg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8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50"/>
    <w:rsid w:val="001C11C8"/>
    <w:rsid w:val="00997BB2"/>
    <w:rsid w:val="00C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78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7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2016-12-22T08:59:00Z</dcterms:created>
  <dcterms:modified xsi:type="dcterms:W3CDTF">2016-12-22T08:59:00Z</dcterms:modified>
</cp:coreProperties>
</file>